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B9E9F" w14:textId="77777777" w:rsidR="00767BF1" w:rsidRPr="00131EB8" w:rsidRDefault="00767BF1" w:rsidP="00CC4A02">
      <w:pPr>
        <w:tabs>
          <w:tab w:val="left" w:pos="9498"/>
        </w:tabs>
        <w:spacing w:after="0" w:line="360" w:lineRule="auto"/>
        <w:ind w:left="284" w:right="1140"/>
        <w:jc w:val="both"/>
        <w:rPr>
          <w:rFonts w:ascii="Century Gothic" w:hAnsi="Century Gothic"/>
          <w:sz w:val="20"/>
          <w:szCs w:val="20"/>
        </w:rPr>
      </w:pPr>
    </w:p>
    <w:p w14:paraId="0FFA96DB" w14:textId="3E4B699A" w:rsidR="001D543A" w:rsidRPr="00131EB8" w:rsidRDefault="001D543A" w:rsidP="00CC4A02">
      <w:pPr>
        <w:tabs>
          <w:tab w:val="left" w:pos="9498"/>
        </w:tabs>
        <w:spacing w:after="0" w:line="360" w:lineRule="auto"/>
        <w:ind w:left="284" w:right="1140"/>
        <w:jc w:val="both"/>
        <w:rPr>
          <w:rFonts w:ascii="Century Gothic" w:hAnsi="Century Gothic"/>
        </w:rPr>
      </w:pPr>
      <w:r w:rsidRPr="00131EB8">
        <w:rPr>
          <w:rFonts w:ascii="Century Gothic" w:hAnsi="Century Gothic"/>
        </w:rPr>
        <w:t xml:space="preserve">Este apartado de la Ley de Acceso a la Información </w:t>
      </w:r>
      <w:r w:rsidR="006067C4" w:rsidRPr="00131EB8">
        <w:rPr>
          <w:rFonts w:ascii="Century Gothic" w:hAnsi="Century Gothic"/>
        </w:rPr>
        <w:t xml:space="preserve">Pública </w:t>
      </w:r>
      <w:r w:rsidRPr="00131EB8">
        <w:rPr>
          <w:rFonts w:ascii="Century Gothic" w:hAnsi="Century Gothic"/>
        </w:rPr>
        <w:t xml:space="preserve">para el Estado de Coahuila no aplica, por no encontrarse dentro del objeto y funciones </w:t>
      </w:r>
      <w:r w:rsidR="00E60B8B" w:rsidRPr="00131EB8">
        <w:rPr>
          <w:rFonts w:ascii="Century Gothic" w:hAnsi="Century Gothic"/>
        </w:rPr>
        <w:t xml:space="preserve">de </w:t>
      </w:r>
      <w:r w:rsidR="0015521C" w:rsidRPr="00131EB8">
        <w:rPr>
          <w:rFonts w:ascii="Century Gothic" w:hAnsi="Century Gothic"/>
        </w:rPr>
        <w:t>e</w:t>
      </w:r>
      <w:r w:rsidRPr="00131EB8">
        <w:rPr>
          <w:rFonts w:ascii="Century Gothic" w:hAnsi="Century Gothic"/>
        </w:rPr>
        <w:t>sta Secretaría</w:t>
      </w:r>
      <w:r w:rsidR="0058147A" w:rsidRPr="00131EB8">
        <w:rPr>
          <w:rFonts w:ascii="Century Gothic" w:hAnsi="Century Gothic"/>
        </w:rPr>
        <w:t>, según lo dispuesto en el Artículo 2</w:t>
      </w:r>
      <w:r w:rsidR="00B16CE0" w:rsidRPr="00131EB8">
        <w:rPr>
          <w:rFonts w:ascii="Century Gothic" w:hAnsi="Century Gothic"/>
        </w:rPr>
        <w:t>2</w:t>
      </w:r>
      <w:r w:rsidR="0058147A" w:rsidRPr="00131EB8">
        <w:rPr>
          <w:rFonts w:ascii="Century Gothic" w:hAnsi="Century Gothic"/>
        </w:rPr>
        <w:t xml:space="preserve"> de la Ley Orgánica de la Administración Pública del Estado de Coahuila de Zaragoza, s</w:t>
      </w:r>
      <w:r w:rsidR="00E60B8B" w:rsidRPr="00131EB8">
        <w:rPr>
          <w:rFonts w:ascii="Century Gothic" w:hAnsi="Century Gothic"/>
        </w:rPr>
        <w:t xml:space="preserve">i no que corresponde </w:t>
      </w:r>
      <w:r w:rsidR="004B2A53" w:rsidRPr="00131EB8">
        <w:rPr>
          <w:rFonts w:ascii="Century Gothic" w:hAnsi="Century Gothic"/>
        </w:rPr>
        <w:t>a</w:t>
      </w:r>
      <w:r w:rsidR="0058147A" w:rsidRPr="00131EB8">
        <w:rPr>
          <w:rFonts w:ascii="Century Gothic" w:hAnsi="Century Gothic"/>
        </w:rPr>
        <w:t>l Instituto Estatal de Pensiones</w:t>
      </w:r>
      <w:r w:rsidR="00E60B8B" w:rsidRPr="00131EB8">
        <w:rPr>
          <w:rFonts w:ascii="Century Gothic" w:hAnsi="Century Gothic"/>
        </w:rPr>
        <w:t>, por tratars</w:t>
      </w:r>
      <w:r w:rsidR="0058147A" w:rsidRPr="00131EB8">
        <w:rPr>
          <w:rFonts w:ascii="Century Gothic" w:hAnsi="Century Gothic"/>
        </w:rPr>
        <w:t>e de atribuciones inherentes a é</w:t>
      </w:r>
      <w:r w:rsidR="00E60B8B" w:rsidRPr="00131EB8">
        <w:rPr>
          <w:rFonts w:ascii="Century Gothic" w:hAnsi="Century Gothic"/>
        </w:rPr>
        <w:t>st</w:t>
      </w:r>
      <w:r w:rsidR="0058147A" w:rsidRPr="00131EB8">
        <w:rPr>
          <w:rFonts w:ascii="Century Gothic" w:hAnsi="Century Gothic"/>
        </w:rPr>
        <w:t>e.</w:t>
      </w:r>
    </w:p>
    <w:p w14:paraId="1B79FD0B" w14:textId="77777777" w:rsidR="00301147" w:rsidRPr="00131EB8" w:rsidRDefault="00301147" w:rsidP="00CC4A02">
      <w:pPr>
        <w:tabs>
          <w:tab w:val="left" w:pos="9498"/>
        </w:tabs>
        <w:spacing w:after="0" w:line="360" w:lineRule="auto"/>
        <w:ind w:left="284" w:right="1140"/>
        <w:jc w:val="center"/>
        <w:rPr>
          <w:rFonts w:ascii="Century Gothic" w:hAnsi="Century Gothic"/>
        </w:rPr>
      </w:pPr>
    </w:p>
    <w:p w14:paraId="31ED4C4A" w14:textId="35ED6DE7" w:rsidR="00301147" w:rsidRPr="00131EB8" w:rsidRDefault="00301147" w:rsidP="005E4F3B">
      <w:pPr>
        <w:tabs>
          <w:tab w:val="left" w:pos="9498"/>
        </w:tabs>
        <w:spacing w:after="0" w:line="360" w:lineRule="auto"/>
        <w:ind w:left="284" w:right="1140"/>
        <w:jc w:val="both"/>
        <w:rPr>
          <w:rFonts w:ascii="Century Gothic" w:hAnsi="Century Gothic"/>
          <w:lang w:val="es-ES"/>
        </w:rPr>
      </w:pPr>
      <w:r w:rsidRPr="00131EB8">
        <w:rPr>
          <w:rFonts w:ascii="Century Gothic" w:hAnsi="Century Gothic"/>
          <w:lang w:val="es-ES"/>
        </w:rPr>
        <w:t xml:space="preserve">Sin embargo, si desea consultar el Estado que Guardan las Pensiones en el Instituto de Pensiones para los Trabajadores al Servicio del Estado, favor de seguir la liga que se proporciona a continuación para </w:t>
      </w:r>
      <w:r w:rsidR="00131EB8" w:rsidRPr="00131EB8">
        <w:rPr>
          <w:rFonts w:ascii="Century Gothic" w:hAnsi="Century Gothic"/>
          <w:lang w:val="es-ES"/>
        </w:rPr>
        <w:t>redireccionarlo</w:t>
      </w:r>
      <w:r w:rsidRPr="00131EB8">
        <w:rPr>
          <w:rFonts w:ascii="Century Gothic" w:hAnsi="Century Gothic"/>
          <w:lang w:val="es-ES"/>
        </w:rPr>
        <w:t xml:space="preserve"> al apartado correspondiente:</w:t>
      </w:r>
    </w:p>
    <w:p w14:paraId="77947CAF" w14:textId="77777777" w:rsidR="00301147" w:rsidRPr="00131EB8" w:rsidRDefault="00301147" w:rsidP="005E4F3B">
      <w:pPr>
        <w:tabs>
          <w:tab w:val="left" w:pos="9498"/>
        </w:tabs>
        <w:spacing w:after="0" w:line="360" w:lineRule="auto"/>
        <w:ind w:left="284" w:right="1140"/>
        <w:jc w:val="both"/>
        <w:rPr>
          <w:rFonts w:ascii="Century Gothic" w:hAnsi="Century Gothic"/>
          <w:lang w:val="es-ES"/>
        </w:rPr>
      </w:pPr>
    </w:p>
    <w:p w14:paraId="6D81AD46" w14:textId="7C1E3F37" w:rsidR="00A7501C" w:rsidRPr="00131EB8" w:rsidRDefault="00131EB8" w:rsidP="00131EB8">
      <w:pPr>
        <w:tabs>
          <w:tab w:val="left" w:pos="4485"/>
          <w:tab w:val="left" w:pos="8222"/>
        </w:tabs>
        <w:spacing w:after="0" w:line="360" w:lineRule="auto"/>
        <w:ind w:left="426" w:right="1140"/>
        <w:jc w:val="both"/>
        <w:rPr>
          <w:rFonts w:ascii="Century Gothic" w:hAnsi="Century Gothic"/>
        </w:rPr>
      </w:pPr>
      <w:hyperlink r:id="rId7" w:history="1">
        <w:r w:rsidRPr="00131EB8">
          <w:rPr>
            <w:rStyle w:val="Hipervnculo"/>
            <w:rFonts w:ascii="Century Gothic" w:hAnsi="Century Gothic"/>
          </w:rPr>
          <w:t>https://www.coahuilatransparente.gob.mx/RutaDataFiles/BD/EstadoqueGuardanlasPensiones/IPPTSEPensiones113m7qnjm6gi40c.pdf</w:t>
        </w:r>
      </w:hyperlink>
    </w:p>
    <w:p w14:paraId="078028F7" w14:textId="77777777" w:rsidR="00131EB8" w:rsidRPr="00131EB8" w:rsidRDefault="00131EB8" w:rsidP="00750E18">
      <w:pPr>
        <w:tabs>
          <w:tab w:val="left" w:pos="4485"/>
        </w:tabs>
        <w:spacing w:after="0" w:line="360" w:lineRule="auto"/>
        <w:ind w:right="1140"/>
        <w:jc w:val="both"/>
        <w:rPr>
          <w:rFonts w:ascii="Century Gothic" w:hAnsi="Century Gothic"/>
          <w:sz w:val="18"/>
          <w:szCs w:val="18"/>
        </w:rPr>
      </w:pPr>
    </w:p>
    <w:p w14:paraId="20AFC50A" w14:textId="330E3D31" w:rsidR="00A63391" w:rsidRPr="00131EB8" w:rsidRDefault="00A63391" w:rsidP="0037756B">
      <w:pPr>
        <w:spacing w:after="0"/>
        <w:ind w:left="284" w:right="1140"/>
        <w:jc w:val="both"/>
        <w:rPr>
          <w:rFonts w:ascii="Century Gothic" w:hAnsi="Century Gothic"/>
          <w:sz w:val="18"/>
          <w:szCs w:val="18"/>
          <w:lang w:val="es-ES"/>
        </w:rPr>
      </w:pPr>
      <w:r w:rsidRPr="00131EB8">
        <w:rPr>
          <w:rFonts w:ascii="Century Gothic" w:hAnsi="Century Gothic"/>
          <w:sz w:val="18"/>
          <w:szCs w:val="18"/>
          <w:lang w:val="es-ES"/>
        </w:rPr>
        <w:t xml:space="preserve">Fecha de última publicación en internet: </w:t>
      </w:r>
      <w:r w:rsidR="00595F1D" w:rsidRPr="00131EB8">
        <w:rPr>
          <w:rFonts w:ascii="Century Gothic" w:hAnsi="Century Gothic"/>
          <w:sz w:val="18"/>
          <w:szCs w:val="18"/>
          <w:lang w:val="es-ES"/>
        </w:rPr>
        <w:t>31/03/</w:t>
      </w:r>
      <w:r w:rsidR="00B24406" w:rsidRPr="00131EB8">
        <w:rPr>
          <w:rFonts w:ascii="Century Gothic" w:hAnsi="Century Gothic"/>
          <w:sz w:val="18"/>
          <w:szCs w:val="18"/>
          <w:lang w:val="es-ES"/>
        </w:rPr>
        <w:t>2025</w:t>
      </w:r>
    </w:p>
    <w:p w14:paraId="016599C7" w14:textId="0C6DCD62" w:rsidR="00131EB8" w:rsidRPr="00131EB8" w:rsidRDefault="00131EB8" w:rsidP="00131EB8">
      <w:pPr>
        <w:spacing w:after="0"/>
        <w:ind w:left="284" w:right="1140"/>
        <w:jc w:val="both"/>
        <w:rPr>
          <w:rFonts w:ascii="Century Gothic" w:hAnsi="Century Gothic"/>
          <w:sz w:val="18"/>
          <w:szCs w:val="18"/>
          <w:lang w:val="es-ES"/>
        </w:rPr>
      </w:pPr>
      <w:r w:rsidRPr="00131EB8">
        <w:rPr>
          <w:rFonts w:ascii="Century Gothic" w:hAnsi="Century Gothic"/>
          <w:sz w:val="18"/>
          <w:szCs w:val="18"/>
          <w:lang w:val="es-ES"/>
        </w:rPr>
        <w:t>Servidor Público Encargado de Generar la Información: I</w:t>
      </w:r>
      <w:r w:rsidRPr="00131EB8">
        <w:rPr>
          <w:rFonts w:ascii="Century Gothic" w:hAnsi="Century Gothic"/>
          <w:sz w:val="18"/>
          <w:szCs w:val="18"/>
          <w:lang w:val="es-ES"/>
        </w:rPr>
        <w:t>ng</w:t>
      </w:r>
      <w:r w:rsidRPr="00131EB8">
        <w:rPr>
          <w:rFonts w:ascii="Century Gothic" w:hAnsi="Century Gothic"/>
          <w:sz w:val="18"/>
          <w:szCs w:val="18"/>
          <w:lang w:val="es-ES"/>
        </w:rPr>
        <w:t xml:space="preserve">. Alejandro De Valle Molina. Contador General </w:t>
      </w:r>
      <w:r w:rsidRPr="00131EB8">
        <w:rPr>
          <w:rFonts w:ascii="Century Gothic" w:hAnsi="Century Gothic"/>
          <w:sz w:val="18"/>
          <w:szCs w:val="18"/>
          <w:lang w:val="es-ES"/>
        </w:rPr>
        <w:t xml:space="preserve">y </w:t>
      </w:r>
      <w:r w:rsidRPr="00131EB8">
        <w:rPr>
          <w:rFonts w:ascii="Century Gothic" w:hAnsi="Century Gothic"/>
          <w:sz w:val="18"/>
          <w:szCs w:val="18"/>
          <w:lang w:val="es-ES"/>
        </w:rPr>
        <w:t>Administrativo</w:t>
      </w:r>
    </w:p>
    <w:p w14:paraId="14B97713" w14:textId="31C905DD" w:rsidR="00131EB8" w:rsidRPr="00131EB8" w:rsidRDefault="00131EB8" w:rsidP="00131EB8">
      <w:pPr>
        <w:spacing w:after="0"/>
        <w:ind w:left="284" w:right="1140"/>
        <w:jc w:val="both"/>
        <w:rPr>
          <w:rFonts w:ascii="Century Gothic" w:hAnsi="Century Gothic"/>
          <w:sz w:val="18"/>
          <w:szCs w:val="18"/>
          <w:lang w:val="es-ES"/>
        </w:rPr>
      </w:pPr>
      <w:r w:rsidRPr="00131EB8">
        <w:rPr>
          <w:rFonts w:ascii="Century Gothic" w:hAnsi="Century Gothic"/>
          <w:sz w:val="18"/>
          <w:szCs w:val="18"/>
          <w:lang w:val="es-ES"/>
        </w:rPr>
        <w:t>Responsable de actualizar información: Lic. David Noel De Los Santos González. Titular Unidad de Transparencia.</w:t>
      </w:r>
    </w:p>
    <w:p w14:paraId="6EDC4409" w14:textId="5006A222" w:rsidR="00A8303D" w:rsidRPr="00131EB8" w:rsidRDefault="00A8303D" w:rsidP="00301147">
      <w:pPr>
        <w:spacing w:after="0" w:line="360" w:lineRule="auto"/>
        <w:ind w:left="1701" w:right="681"/>
        <w:jc w:val="both"/>
        <w:rPr>
          <w:rFonts w:ascii="Century Gothic" w:hAnsi="Century Gothic"/>
          <w:sz w:val="20"/>
          <w:szCs w:val="20"/>
          <w:lang w:val="es-ES"/>
        </w:rPr>
      </w:pPr>
    </w:p>
    <w:p w14:paraId="132AF546" w14:textId="682A405D" w:rsidR="00301147" w:rsidRPr="00131EB8" w:rsidRDefault="00301147" w:rsidP="00301147">
      <w:pPr>
        <w:spacing w:after="0" w:line="360" w:lineRule="auto"/>
        <w:ind w:left="1701" w:right="681"/>
        <w:jc w:val="both"/>
        <w:rPr>
          <w:rFonts w:ascii="Century Gothic" w:hAnsi="Century Gothic"/>
          <w:sz w:val="20"/>
          <w:szCs w:val="20"/>
          <w:lang w:val="es-ES"/>
        </w:rPr>
      </w:pPr>
    </w:p>
    <w:sectPr w:rsidR="00301147" w:rsidRPr="00131EB8" w:rsidSect="00C12583">
      <w:headerReference w:type="default" r:id="rId8"/>
      <w:type w:val="continuous"/>
      <w:pgSz w:w="10780" w:h="12260"/>
      <w:pgMar w:top="298" w:right="0" w:bottom="1020" w:left="851" w:header="142"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2E2FC" w14:textId="77777777" w:rsidR="00B7651D" w:rsidRDefault="00B7651D" w:rsidP="00AF69DC">
      <w:pPr>
        <w:spacing w:after="0" w:line="240" w:lineRule="auto"/>
      </w:pPr>
      <w:r>
        <w:separator/>
      </w:r>
    </w:p>
  </w:endnote>
  <w:endnote w:type="continuationSeparator" w:id="0">
    <w:p w14:paraId="1FC9DC2C" w14:textId="77777777" w:rsidR="00B7651D" w:rsidRDefault="00B7651D" w:rsidP="00AF6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065D0" w14:textId="77777777" w:rsidR="00B7651D" w:rsidRDefault="00B7651D" w:rsidP="00AF69DC">
      <w:pPr>
        <w:spacing w:after="0" w:line="240" w:lineRule="auto"/>
      </w:pPr>
      <w:r>
        <w:separator/>
      </w:r>
    </w:p>
  </w:footnote>
  <w:footnote w:type="continuationSeparator" w:id="0">
    <w:p w14:paraId="0F28CAEB" w14:textId="77777777" w:rsidR="00B7651D" w:rsidRDefault="00B7651D" w:rsidP="00AF6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448EF" w14:textId="4E0CFCC0" w:rsidR="00F70D47" w:rsidRDefault="00F70D47" w:rsidP="00F70D47">
    <w:pPr>
      <w:pStyle w:val="Encabezado"/>
      <w:rPr>
        <w:rFonts w:ascii="Century Gothic" w:hAnsi="Century Gothic"/>
        <w:sz w:val="20"/>
        <w:szCs w:val="20"/>
      </w:rPr>
    </w:pPr>
    <w:r>
      <w:rPr>
        <w:noProof/>
      </w:rPr>
      <w:drawing>
        <wp:anchor distT="0" distB="0" distL="114300" distR="114300" simplePos="0" relativeHeight="251657216" behindDoc="0" locked="0" layoutInCell="1" allowOverlap="1" wp14:anchorId="63B9C720" wp14:editId="60739AF8">
          <wp:simplePos x="0" y="0"/>
          <wp:positionH relativeFrom="margin">
            <wp:posOffset>3875405</wp:posOffset>
          </wp:positionH>
          <wp:positionV relativeFrom="paragraph">
            <wp:posOffset>140970</wp:posOffset>
          </wp:positionV>
          <wp:extent cx="1618615" cy="657225"/>
          <wp:effectExtent l="0" t="0" r="635" b="9525"/>
          <wp:wrapTopAndBottom/>
          <wp:docPr id="1922372223" name="Imagen 2"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34978" t="27309" r="20190" b="40286"/>
                  <a:stretch>
                    <a:fillRect/>
                  </a:stretch>
                </pic:blipFill>
                <pic:spPr bwMode="auto">
                  <a:xfrm>
                    <a:off x="0" y="0"/>
                    <a:ext cx="161861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6918F88E" wp14:editId="00D1B47E">
          <wp:simplePos x="0" y="0"/>
          <wp:positionH relativeFrom="column">
            <wp:posOffset>-3810</wp:posOffset>
          </wp:positionH>
          <wp:positionV relativeFrom="paragraph">
            <wp:posOffset>-1905</wp:posOffset>
          </wp:positionV>
          <wp:extent cx="2638425" cy="900430"/>
          <wp:effectExtent l="0" t="0" r="9525" b="0"/>
          <wp:wrapNone/>
          <wp:docPr id="2099610990"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8425"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569AF6" w14:textId="77777777" w:rsidR="00F70D47" w:rsidRPr="00AE0C41" w:rsidRDefault="00F70D47" w:rsidP="00F70D47">
    <w:pPr>
      <w:pStyle w:val="Encabezado"/>
      <w:tabs>
        <w:tab w:val="clear" w:pos="4419"/>
      </w:tabs>
      <w:ind w:right="-93"/>
      <w:jc w:val="center"/>
    </w:pPr>
    <w:r>
      <w:rPr>
        <w:rFonts w:ascii="Century Gothic" w:hAnsi="Century Gothic"/>
        <w:sz w:val="20"/>
        <w:szCs w:val="20"/>
      </w:rPr>
      <w:t>“</w:t>
    </w:r>
    <w:r>
      <w:rPr>
        <w:rStyle w:val="dig-theme"/>
        <w:rFonts w:ascii="Century Gothic" w:hAnsi="Century Gothic"/>
        <w:sz w:val="20"/>
        <w:szCs w:val="20"/>
      </w:rPr>
      <w:t>2024 Bicentenario de Coahuila; 200 años de grandeza"</w:t>
    </w:r>
  </w:p>
  <w:p w14:paraId="108609AA" w14:textId="6E4513CE" w:rsidR="00287059" w:rsidRPr="00F70D47" w:rsidRDefault="00287059" w:rsidP="00F70D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C4D94"/>
    <w:multiLevelType w:val="hybridMultilevel"/>
    <w:tmpl w:val="E3ACC9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61A7B64"/>
    <w:multiLevelType w:val="hybridMultilevel"/>
    <w:tmpl w:val="8B56C2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1AE1B3D"/>
    <w:multiLevelType w:val="hybridMultilevel"/>
    <w:tmpl w:val="3A60026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 w15:restartNumberingAfterBreak="0">
    <w:nsid w:val="760041E8"/>
    <w:multiLevelType w:val="hybridMultilevel"/>
    <w:tmpl w:val="0E82E5FE"/>
    <w:lvl w:ilvl="0" w:tplc="080A0001">
      <w:start w:val="1"/>
      <w:numFmt w:val="bullet"/>
      <w:lvlText w:val=""/>
      <w:lvlJc w:val="left"/>
      <w:pPr>
        <w:ind w:left="1193" w:hanging="360"/>
      </w:pPr>
      <w:rPr>
        <w:rFonts w:ascii="Symbol" w:hAnsi="Symbol" w:hint="default"/>
      </w:rPr>
    </w:lvl>
    <w:lvl w:ilvl="1" w:tplc="080A0003" w:tentative="1">
      <w:start w:val="1"/>
      <w:numFmt w:val="bullet"/>
      <w:lvlText w:val="o"/>
      <w:lvlJc w:val="left"/>
      <w:pPr>
        <w:ind w:left="1913" w:hanging="360"/>
      </w:pPr>
      <w:rPr>
        <w:rFonts w:ascii="Courier New" w:hAnsi="Courier New" w:hint="default"/>
      </w:rPr>
    </w:lvl>
    <w:lvl w:ilvl="2" w:tplc="080A0005" w:tentative="1">
      <w:start w:val="1"/>
      <w:numFmt w:val="bullet"/>
      <w:lvlText w:val=""/>
      <w:lvlJc w:val="left"/>
      <w:pPr>
        <w:ind w:left="2633" w:hanging="360"/>
      </w:pPr>
      <w:rPr>
        <w:rFonts w:ascii="Wingdings" w:hAnsi="Wingdings" w:hint="default"/>
      </w:rPr>
    </w:lvl>
    <w:lvl w:ilvl="3" w:tplc="080A0001" w:tentative="1">
      <w:start w:val="1"/>
      <w:numFmt w:val="bullet"/>
      <w:lvlText w:val=""/>
      <w:lvlJc w:val="left"/>
      <w:pPr>
        <w:ind w:left="3353" w:hanging="360"/>
      </w:pPr>
      <w:rPr>
        <w:rFonts w:ascii="Symbol" w:hAnsi="Symbol" w:hint="default"/>
      </w:rPr>
    </w:lvl>
    <w:lvl w:ilvl="4" w:tplc="080A0003" w:tentative="1">
      <w:start w:val="1"/>
      <w:numFmt w:val="bullet"/>
      <w:lvlText w:val="o"/>
      <w:lvlJc w:val="left"/>
      <w:pPr>
        <w:ind w:left="4073" w:hanging="360"/>
      </w:pPr>
      <w:rPr>
        <w:rFonts w:ascii="Courier New" w:hAnsi="Courier New" w:hint="default"/>
      </w:rPr>
    </w:lvl>
    <w:lvl w:ilvl="5" w:tplc="080A0005" w:tentative="1">
      <w:start w:val="1"/>
      <w:numFmt w:val="bullet"/>
      <w:lvlText w:val=""/>
      <w:lvlJc w:val="left"/>
      <w:pPr>
        <w:ind w:left="4793" w:hanging="360"/>
      </w:pPr>
      <w:rPr>
        <w:rFonts w:ascii="Wingdings" w:hAnsi="Wingdings" w:hint="default"/>
      </w:rPr>
    </w:lvl>
    <w:lvl w:ilvl="6" w:tplc="080A0001" w:tentative="1">
      <w:start w:val="1"/>
      <w:numFmt w:val="bullet"/>
      <w:lvlText w:val=""/>
      <w:lvlJc w:val="left"/>
      <w:pPr>
        <w:ind w:left="5513" w:hanging="360"/>
      </w:pPr>
      <w:rPr>
        <w:rFonts w:ascii="Symbol" w:hAnsi="Symbol" w:hint="default"/>
      </w:rPr>
    </w:lvl>
    <w:lvl w:ilvl="7" w:tplc="080A0003" w:tentative="1">
      <w:start w:val="1"/>
      <w:numFmt w:val="bullet"/>
      <w:lvlText w:val="o"/>
      <w:lvlJc w:val="left"/>
      <w:pPr>
        <w:ind w:left="6233" w:hanging="360"/>
      </w:pPr>
      <w:rPr>
        <w:rFonts w:ascii="Courier New" w:hAnsi="Courier New" w:hint="default"/>
      </w:rPr>
    </w:lvl>
    <w:lvl w:ilvl="8" w:tplc="080A0005" w:tentative="1">
      <w:start w:val="1"/>
      <w:numFmt w:val="bullet"/>
      <w:lvlText w:val=""/>
      <w:lvlJc w:val="left"/>
      <w:pPr>
        <w:ind w:left="6953" w:hanging="360"/>
      </w:pPr>
      <w:rPr>
        <w:rFonts w:ascii="Wingdings" w:hAnsi="Wingdings" w:hint="default"/>
      </w:rPr>
    </w:lvl>
  </w:abstractNum>
  <w:abstractNum w:abstractNumId="4" w15:restartNumberingAfterBreak="0">
    <w:nsid w:val="7FF82391"/>
    <w:multiLevelType w:val="hybridMultilevel"/>
    <w:tmpl w:val="69B8101A"/>
    <w:lvl w:ilvl="0" w:tplc="60783BDA">
      <w:numFmt w:val="bullet"/>
      <w:lvlText w:val="-"/>
      <w:lvlJc w:val="left"/>
      <w:pPr>
        <w:ind w:left="833" w:hanging="360"/>
      </w:pPr>
      <w:rPr>
        <w:rFonts w:ascii="Century Gothic" w:eastAsiaTheme="minorEastAsia" w:hAnsi="Century Gothic" w:hint="default"/>
      </w:rPr>
    </w:lvl>
    <w:lvl w:ilvl="1" w:tplc="080A0003" w:tentative="1">
      <w:start w:val="1"/>
      <w:numFmt w:val="bullet"/>
      <w:lvlText w:val="o"/>
      <w:lvlJc w:val="left"/>
      <w:pPr>
        <w:ind w:left="1553" w:hanging="360"/>
      </w:pPr>
      <w:rPr>
        <w:rFonts w:ascii="Courier New" w:hAnsi="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hint="default"/>
      </w:rPr>
    </w:lvl>
    <w:lvl w:ilvl="8" w:tplc="080A0005" w:tentative="1">
      <w:start w:val="1"/>
      <w:numFmt w:val="bullet"/>
      <w:lvlText w:val=""/>
      <w:lvlJc w:val="left"/>
      <w:pPr>
        <w:ind w:left="6593" w:hanging="360"/>
      </w:pPr>
      <w:rPr>
        <w:rFonts w:ascii="Wingdings" w:hAnsi="Wingdings" w:hint="default"/>
      </w:rPr>
    </w:lvl>
  </w:abstractNum>
  <w:num w:numId="1" w16cid:durableId="688723719">
    <w:abstractNumId w:val="3"/>
  </w:num>
  <w:num w:numId="2" w16cid:durableId="759377794">
    <w:abstractNumId w:val="4"/>
  </w:num>
  <w:num w:numId="3" w16cid:durableId="1628929905">
    <w:abstractNumId w:val="2"/>
  </w:num>
  <w:num w:numId="4" w16cid:durableId="1406882340">
    <w:abstractNumId w:val="0"/>
  </w:num>
  <w:num w:numId="5" w16cid:durableId="1553998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78A"/>
    <w:rsid w:val="00003048"/>
    <w:rsid w:val="00012563"/>
    <w:rsid w:val="00016F44"/>
    <w:rsid w:val="00033EB3"/>
    <w:rsid w:val="00034302"/>
    <w:rsid w:val="00044771"/>
    <w:rsid w:val="00054135"/>
    <w:rsid w:val="00070F9A"/>
    <w:rsid w:val="000823D3"/>
    <w:rsid w:val="000922A4"/>
    <w:rsid w:val="000A1619"/>
    <w:rsid w:val="000A6B4F"/>
    <w:rsid w:val="000B3DEB"/>
    <w:rsid w:val="000B67BE"/>
    <w:rsid w:val="000C58A6"/>
    <w:rsid w:val="000C7D72"/>
    <w:rsid w:val="000D721F"/>
    <w:rsid w:val="00103150"/>
    <w:rsid w:val="00120692"/>
    <w:rsid w:val="00125860"/>
    <w:rsid w:val="00125BAC"/>
    <w:rsid w:val="00131EB8"/>
    <w:rsid w:val="0013450C"/>
    <w:rsid w:val="0014144A"/>
    <w:rsid w:val="00142924"/>
    <w:rsid w:val="00143ED5"/>
    <w:rsid w:val="00143F91"/>
    <w:rsid w:val="0015521C"/>
    <w:rsid w:val="0015653C"/>
    <w:rsid w:val="00161FB1"/>
    <w:rsid w:val="0017159F"/>
    <w:rsid w:val="00190CC0"/>
    <w:rsid w:val="00191F77"/>
    <w:rsid w:val="001B71C9"/>
    <w:rsid w:val="001B7F50"/>
    <w:rsid w:val="001C0024"/>
    <w:rsid w:val="001C2778"/>
    <w:rsid w:val="001C2D88"/>
    <w:rsid w:val="001D1F6C"/>
    <w:rsid w:val="001D543A"/>
    <w:rsid w:val="001E0EDF"/>
    <w:rsid w:val="001E38D0"/>
    <w:rsid w:val="001E73B5"/>
    <w:rsid w:val="00200037"/>
    <w:rsid w:val="00212A75"/>
    <w:rsid w:val="0021315A"/>
    <w:rsid w:val="002144D5"/>
    <w:rsid w:val="0021698B"/>
    <w:rsid w:val="00235A2A"/>
    <w:rsid w:val="00240C95"/>
    <w:rsid w:val="002438EF"/>
    <w:rsid w:val="002534AD"/>
    <w:rsid w:val="00253DC8"/>
    <w:rsid w:val="00255823"/>
    <w:rsid w:val="00282E6D"/>
    <w:rsid w:val="00287059"/>
    <w:rsid w:val="0028713D"/>
    <w:rsid w:val="002A50D0"/>
    <w:rsid w:val="002B0A45"/>
    <w:rsid w:val="002B3E0D"/>
    <w:rsid w:val="002C6285"/>
    <w:rsid w:val="002D21F3"/>
    <w:rsid w:val="002E6116"/>
    <w:rsid w:val="002F07A9"/>
    <w:rsid w:val="002F44EB"/>
    <w:rsid w:val="00301147"/>
    <w:rsid w:val="003013E3"/>
    <w:rsid w:val="00303199"/>
    <w:rsid w:val="00306F7D"/>
    <w:rsid w:val="0031784B"/>
    <w:rsid w:val="00332665"/>
    <w:rsid w:val="00335312"/>
    <w:rsid w:val="00341A4F"/>
    <w:rsid w:val="003428AF"/>
    <w:rsid w:val="00370B94"/>
    <w:rsid w:val="0037756B"/>
    <w:rsid w:val="003803ED"/>
    <w:rsid w:val="0038476F"/>
    <w:rsid w:val="00385771"/>
    <w:rsid w:val="003B24D8"/>
    <w:rsid w:val="003B34A4"/>
    <w:rsid w:val="003C3B1C"/>
    <w:rsid w:val="003D1085"/>
    <w:rsid w:val="003D60E4"/>
    <w:rsid w:val="003D6742"/>
    <w:rsid w:val="003E39C4"/>
    <w:rsid w:val="0040078A"/>
    <w:rsid w:val="00404723"/>
    <w:rsid w:val="0041179C"/>
    <w:rsid w:val="004277EE"/>
    <w:rsid w:val="0043358D"/>
    <w:rsid w:val="00433A79"/>
    <w:rsid w:val="00436455"/>
    <w:rsid w:val="0043777D"/>
    <w:rsid w:val="004413E3"/>
    <w:rsid w:val="004623E6"/>
    <w:rsid w:val="0047332E"/>
    <w:rsid w:val="0047640F"/>
    <w:rsid w:val="00477070"/>
    <w:rsid w:val="00483963"/>
    <w:rsid w:val="0048424C"/>
    <w:rsid w:val="00492A14"/>
    <w:rsid w:val="004A3B4E"/>
    <w:rsid w:val="004B2A53"/>
    <w:rsid w:val="004F749E"/>
    <w:rsid w:val="0050128B"/>
    <w:rsid w:val="005217A6"/>
    <w:rsid w:val="005379C4"/>
    <w:rsid w:val="00545BD4"/>
    <w:rsid w:val="0058147A"/>
    <w:rsid w:val="00585AB8"/>
    <w:rsid w:val="00592452"/>
    <w:rsid w:val="00592891"/>
    <w:rsid w:val="00595F1D"/>
    <w:rsid w:val="005B12B2"/>
    <w:rsid w:val="005B421A"/>
    <w:rsid w:val="005C1171"/>
    <w:rsid w:val="005C165A"/>
    <w:rsid w:val="005C612C"/>
    <w:rsid w:val="005C675D"/>
    <w:rsid w:val="005D0AF5"/>
    <w:rsid w:val="005D4F04"/>
    <w:rsid w:val="005E4F3B"/>
    <w:rsid w:val="005E6F09"/>
    <w:rsid w:val="00602C01"/>
    <w:rsid w:val="0060525B"/>
    <w:rsid w:val="006067C4"/>
    <w:rsid w:val="00607EA2"/>
    <w:rsid w:val="0061124F"/>
    <w:rsid w:val="00615BF7"/>
    <w:rsid w:val="00625463"/>
    <w:rsid w:val="00634733"/>
    <w:rsid w:val="00657BF0"/>
    <w:rsid w:val="0066046E"/>
    <w:rsid w:val="00660FF9"/>
    <w:rsid w:val="006619C8"/>
    <w:rsid w:val="00677D44"/>
    <w:rsid w:val="00685CC6"/>
    <w:rsid w:val="00687480"/>
    <w:rsid w:val="00690670"/>
    <w:rsid w:val="006A488B"/>
    <w:rsid w:val="006C79BB"/>
    <w:rsid w:val="006E03A8"/>
    <w:rsid w:val="006E6FC4"/>
    <w:rsid w:val="0071291B"/>
    <w:rsid w:val="0072004B"/>
    <w:rsid w:val="0072225A"/>
    <w:rsid w:val="00740A29"/>
    <w:rsid w:val="0074539E"/>
    <w:rsid w:val="00750E18"/>
    <w:rsid w:val="00751E77"/>
    <w:rsid w:val="007565E2"/>
    <w:rsid w:val="0075702F"/>
    <w:rsid w:val="00767BF1"/>
    <w:rsid w:val="00775E2D"/>
    <w:rsid w:val="00790264"/>
    <w:rsid w:val="007A08E4"/>
    <w:rsid w:val="007B3E75"/>
    <w:rsid w:val="007B4CD8"/>
    <w:rsid w:val="007B5FD0"/>
    <w:rsid w:val="007E5B2A"/>
    <w:rsid w:val="007E74BC"/>
    <w:rsid w:val="007E7D59"/>
    <w:rsid w:val="007F31EE"/>
    <w:rsid w:val="0080682E"/>
    <w:rsid w:val="00817EB6"/>
    <w:rsid w:val="00827A06"/>
    <w:rsid w:val="0083405E"/>
    <w:rsid w:val="008426D8"/>
    <w:rsid w:val="00844E63"/>
    <w:rsid w:val="0084516E"/>
    <w:rsid w:val="0088018D"/>
    <w:rsid w:val="00894517"/>
    <w:rsid w:val="008B18FB"/>
    <w:rsid w:val="008C4301"/>
    <w:rsid w:val="008C469E"/>
    <w:rsid w:val="008C475F"/>
    <w:rsid w:val="008D7971"/>
    <w:rsid w:val="008F4931"/>
    <w:rsid w:val="00903A62"/>
    <w:rsid w:val="009150A5"/>
    <w:rsid w:val="00927DB9"/>
    <w:rsid w:val="009509A2"/>
    <w:rsid w:val="009633AF"/>
    <w:rsid w:val="00964836"/>
    <w:rsid w:val="009716C5"/>
    <w:rsid w:val="00976E90"/>
    <w:rsid w:val="0098490E"/>
    <w:rsid w:val="009943B7"/>
    <w:rsid w:val="009A7C48"/>
    <w:rsid w:val="009B4B93"/>
    <w:rsid w:val="009C424E"/>
    <w:rsid w:val="009C4647"/>
    <w:rsid w:val="009C7299"/>
    <w:rsid w:val="009E3E39"/>
    <w:rsid w:val="009E4828"/>
    <w:rsid w:val="009F0118"/>
    <w:rsid w:val="009F4657"/>
    <w:rsid w:val="00A00B44"/>
    <w:rsid w:val="00A0206B"/>
    <w:rsid w:val="00A07CA9"/>
    <w:rsid w:val="00A14D17"/>
    <w:rsid w:val="00A35FDF"/>
    <w:rsid w:val="00A40DEB"/>
    <w:rsid w:val="00A61231"/>
    <w:rsid w:val="00A63391"/>
    <w:rsid w:val="00A7501C"/>
    <w:rsid w:val="00A8093B"/>
    <w:rsid w:val="00A8303D"/>
    <w:rsid w:val="00A90F61"/>
    <w:rsid w:val="00A91252"/>
    <w:rsid w:val="00A944F4"/>
    <w:rsid w:val="00A94E72"/>
    <w:rsid w:val="00A97C11"/>
    <w:rsid w:val="00AA5D22"/>
    <w:rsid w:val="00AB3E8D"/>
    <w:rsid w:val="00AC29C1"/>
    <w:rsid w:val="00AD44FF"/>
    <w:rsid w:val="00AD63DC"/>
    <w:rsid w:val="00AE781A"/>
    <w:rsid w:val="00AF0547"/>
    <w:rsid w:val="00AF2610"/>
    <w:rsid w:val="00AF63EA"/>
    <w:rsid w:val="00AF69DC"/>
    <w:rsid w:val="00B11500"/>
    <w:rsid w:val="00B16CE0"/>
    <w:rsid w:val="00B24406"/>
    <w:rsid w:val="00B358A4"/>
    <w:rsid w:val="00B41A0C"/>
    <w:rsid w:val="00B447D4"/>
    <w:rsid w:val="00B55638"/>
    <w:rsid w:val="00B55A7F"/>
    <w:rsid w:val="00B60E4A"/>
    <w:rsid w:val="00B64325"/>
    <w:rsid w:val="00B7651D"/>
    <w:rsid w:val="00B774C9"/>
    <w:rsid w:val="00B81BF3"/>
    <w:rsid w:val="00B96F96"/>
    <w:rsid w:val="00BB3D39"/>
    <w:rsid w:val="00BC44C8"/>
    <w:rsid w:val="00BC5515"/>
    <w:rsid w:val="00BC558E"/>
    <w:rsid w:val="00BC7E0A"/>
    <w:rsid w:val="00BE1594"/>
    <w:rsid w:val="00C00A24"/>
    <w:rsid w:val="00C05222"/>
    <w:rsid w:val="00C06261"/>
    <w:rsid w:val="00C12583"/>
    <w:rsid w:val="00C1647E"/>
    <w:rsid w:val="00C331CD"/>
    <w:rsid w:val="00C340AE"/>
    <w:rsid w:val="00C51DB9"/>
    <w:rsid w:val="00C5478D"/>
    <w:rsid w:val="00C70146"/>
    <w:rsid w:val="00C92DBF"/>
    <w:rsid w:val="00CA16B1"/>
    <w:rsid w:val="00CA3B94"/>
    <w:rsid w:val="00CA77E2"/>
    <w:rsid w:val="00CC4A02"/>
    <w:rsid w:val="00CD4A71"/>
    <w:rsid w:val="00CF13B1"/>
    <w:rsid w:val="00D00B55"/>
    <w:rsid w:val="00D212B9"/>
    <w:rsid w:val="00D30FDA"/>
    <w:rsid w:val="00D67B29"/>
    <w:rsid w:val="00D70CE6"/>
    <w:rsid w:val="00D762F1"/>
    <w:rsid w:val="00D936C2"/>
    <w:rsid w:val="00DB23C6"/>
    <w:rsid w:val="00DC4C35"/>
    <w:rsid w:val="00DC61F1"/>
    <w:rsid w:val="00E04F47"/>
    <w:rsid w:val="00E25C85"/>
    <w:rsid w:val="00E327E2"/>
    <w:rsid w:val="00E3315C"/>
    <w:rsid w:val="00E35C67"/>
    <w:rsid w:val="00E52DE9"/>
    <w:rsid w:val="00E60B8B"/>
    <w:rsid w:val="00E675D5"/>
    <w:rsid w:val="00E72140"/>
    <w:rsid w:val="00E843BF"/>
    <w:rsid w:val="00E8590B"/>
    <w:rsid w:val="00E8604F"/>
    <w:rsid w:val="00E901EC"/>
    <w:rsid w:val="00E92D3D"/>
    <w:rsid w:val="00EA029D"/>
    <w:rsid w:val="00EA76C4"/>
    <w:rsid w:val="00EB14C2"/>
    <w:rsid w:val="00EB246A"/>
    <w:rsid w:val="00EB6426"/>
    <w:rsid w:val="00EC611F"/>
    <w:rsid w:val="00EC75D8"/>
    <w:rsid w:val="00EE71DE"/>
    <w:rsid w:val="00F020C4"/>
    <w:rsid w:val="00F066EB"/>
    <w:rsid w:val="00F11933"/>
    <w:rsid w:val="00F20727"/>
    <w:rsid w:val="00F4302D"/>
    <w:rsid w:val="00F44334"/>
    <w:rsid w:val="00F553F4"/>
    <w:rsid w:val="00F57377"/>
    <w:rsid w:val="00F70D47"/>
    <w:rsid w:val="00F723C8"/>
    <w:rsid w:val="00F80BB3"/>
    <w:rsid w:val="00F84AD2"/>
    <w:rsid w:val="00F84CC4"/>
    <w:rsid w:val="00F93841"/>
    <w:rsid w:val="00FA0E2F"/>
    <w:rsid w:val="00FA4F7A"/>
    <w:rsid w:val="00FB06CA"/>
    <w:rsid w:val="00FB6802"/>
    <w:rsid w:val="00FD49D1"/>
    <w:rsid w:val="00FD7293"/>
    <w:rsid w:val="00FE07AA"/>
    <w:rsid w:val="00FE0DA2"/>
    <w:rsid w:val="00FE28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0F26CD7"/>
  <w14:defaultImageDpi w14:val="0"/>
  <w15:docId w15:val="{5B25D27C-36F1-4D38-B643-A96B7D8B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69DC"/>
    <w:pPr>
      <w:tabs>
        <w:tab w:val="center" w:pos="4419"/>
        <w:tab w:val="right" w:pos="8838"/>
      </w:tabs>
    </w:pPr>
  </w:style>
  <w:style w:type="character" w:customStyle="1" w:styleId="EncabezadoCar">
    <w:name w:val="Encabezado Car"/>
    <w:basedOn w:val="Fuentedeprrafopredeter"/>
    <w:link w:val="Encabezado"/>
    <w:uiPriority w:val="99"/>
    <w:locked/>
    <w:rsid w:val="00AF69DC"/>
    <w:rPr>
      <w:rFonts w:cs="Times New Roman"/>
    </w:rPr>
  </w:style>
  <w:style w:type="paragraph" w:styleId="Piedepgina">
    <w:name w:val="footer"/>
    <w:basedOn w:val="Normal"/>
    <w:link w:val="PiedepginaCar"/>
    <w:uiPriority w:val="99"/>
    <w:unhideWhenUsed/>
    <w:rsid w:val="00AF69DC"/>
    <w:pPr>
      <w:tabs>
        <w:tab w:val="center" w:pos="4419"/>
        <w:tab w:val="right" w:pos="8838"/>
      </w:tabs>
    </w:pPr>
  </w:style>
  <w:style w:type="character" w:customStyle="1" w:styleId="PiedepginaCar">
    <w:name w:val="Pie de página Car"/>
    <w:basedOn w:val="Fuentedeprrafopredeter"/>
    <w:link w:val="Piedepgina"/>
    <w:uiPriority w:val="99"/>
    <w:locked/>
    <w:rsid w:val="00AF69DC"/>
    <w:rPr>
      <w:rFonts w:cs="Times New Roman"/>
    </w:rPr>
  </w:style>
  <w:style w:type="table" w:styleId="Tablaconcuadrcula">
    <w:name w:val="Table Grid"/>
    <w:basedOn w:val="Tablanormal"/>
    <w:uiPriority w:val="59"/>
    <w:rsid w:val="00E67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341A4F"/>
    <w:rPr>
      <w:color w:val="0000FF" w:themeColor="hyperlink"/>
      <w:u w:val="single"/>
    </w:rPr>
  </w:style>
  <w:style w:type="paragraph" w:styleId="NormalWeb">
    <w:name w:val="Normal (Web)"/>
    <w:basedOn w:val="Normal"/>
    <w:uiPriority w:val="99"/>
    <w:unhideWhenUsed/>
    <w:rsid w:val="00CA16B1"/>
    <w:pPr>
      <w:spacing w:before="100" w:beforeAutospacing="1" w:after="100" w:afterAutospacing="1" w:line="240" w:lineRule="auto"/>
    </w:pPr>
    <w:rPr>
      <w:rFonts w:ascii="Times New Roman" w:hAnsi="Times New Roman"/>
      <w:sz w:val="24"/>
      <w:szCs w:val="24"/>
    </w:rPr>
  </w:style>
  <w:style w:type="character" w:customStyle="1" w:styleId="dig-theme">
    <w:name w:val="dig-theme"/>
    <w:basedOn w:val="Fuentedeprrafopredeter"/>
    <w:rsid w:val="00F70D47"/>
  </w:style>
  <w:style w:type="character" w:styleId="Mencinsinresolver">
    <w:name w:val="Unresolved Mention"/>
    <w:basedOn w:val="Fuentedeprrafopredeter"/>
    <w:uiPriority w:val="99"/>
    <w:semiHidden/>
    <w:unhideWhenUsed/>
    <w:rsid w:val="00131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13146">
      <w:bodyDiv w:val="1"/>
      <w:marLeft w:val="0"/>
      <w:marRight w:val="0"/>
      <w:marTop w:val="0"/>
      <w:marBottom w:val="0"/>
      <w:divBdr>
        <w:top w:val="none" w:sz="0" w:space="0" w:color="auto"/>
        <w:left w:val="none" w:sz="0" w:space="0" w:color="auto"/>
        <w:bottom w:val="none" w:sz="0" w:space="0" w:color="auto"/>
        <w:right w:val="none" w:sz="0" w:space="0" w:color="auto"/>
      </w:divBdr>
    </w:div>
    <w:div w:id="273827720">
      <w:bodyDiv w:val="1"/>
      <w:marLeft w:val="0"/>
      <w:marRight w:val="0"/>
      <w:marTop w:val="0"/>
      <w:marBottom w:val="0"/>
      <w:divBdr>
        <w:top w:val="none" w:sz="0" w:space="0" w:color="auto"/>
        <w:left w:val="none" w:sz="0" w:space="0" w:color="auto"/>
        <w:bottom w:val="none" w:sz="0" w:space="0" w:color="auto"/>
        <w:right w:val="none" w:sz="0" w:space="0" w:color="auto"/>
      </w:divBdr>
    </w:div>
    <w:div w:id="763456144">
      <w:bodyDiv w:val="1"/>
      <w:marLeft w:val="0"/>
      <w:marRight w:val="0"/>
      <w:marTop w:val="0"/>
      <w:marBottom w:val="0"/>
      <w:divBdr>
        <w:top w:val="none" w:sz="0" w:space="0" w:color="auto"/>
        <w:left w:val="none" w:sz="0" w:space="0" w:color="auto"/>
        <w:bottom w:val="none" w:sz="0" w:space="0" w:color="auto"/>
        <w:right w:val="none" w:sz="0" w:space="0" w:color="auto"/>
      </w:divBdr>
    </w:div>
    <w:div w:id="1019234289">
      <w:bodyDiv w:val="1"/>
      <w:marLeft w:val="0"/>
      <w:marRight w:val="0"/>
      <w:marTop w:val="0"/>
      <w:marBottom w:val="0"/>
      <w:divBdr>
        <w:top w:val="none" w:sz="0" w:space="0" w:color="auto"/>
        <w:left w:val="none" w:sz="0" w:space="0" w:color="auto"/>
        <w:bottom w:val="none" w:sz="0" w:space="0" w:color="auto"/>
        <w:right w:val="none" w:sz="0" w:space="0" w:color="auto"/>
      </w:divBdr>
    </w:div>
    <w:div w:id="1366564378">
      <w:bodyDiv w:val="1"/>
      <w:marLeft w:val="0"/>
      <w:marRight w:val="0"/>
      <w:marTop w:val="0"/>
      <w:marBottom w:val="0"/>
      <w:divBdr>
        <w:top w:val="none" w:sz="0" w:space="0" w:color="auto"/>
        <w:left w:val="none" w:sz="0" w:space="0" w:color="auto"/>
        <w:bottom w:val="none" w:sz="0" w:space="0" w:color="auto"/>
        <w:right w:val="none" w:sz="0" w:space="0" w:color="auto"/>
      </w:divBdr>
    </w:div>
    <w:div w:id="166566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ahuilatransparente.gob.mx/RutaDataFiles/BD/EstadoqueGuardanlasPensiones/IPPTSEPensiones113m7qnjm6gi40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182</Words>
  <Characters>1007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DPI – 12/09/2000-09-12</vt:lpstr>
    </vt:vector>
  </TitlesOfParts>
  <Company>Hewlett-Packard Company</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DPI – 12/09/2000-09-12</dc:title>
  <dc:subject/>
  <dc:creator>Tesoreria General</dc:creator>
  <cp:keywords/>
  <dc:description/>
  <cp:lastModifiedBy>GOBIERNO DEL DE COAHUILA</cp:lastModifiedBy>
  <cp:revision>112</cp:revision>
  <cp:lastPrinted>2014-09-05T16:49:00Z</cp:lastPrinted>
  <dcterms:created xsi:type="dcterms:W3CDTF">2017-10-06T17:43:00Z</dcterms:created>
  <dcterms:modified xsi:type="dcterms:W3CDTF">2025-04-07T19:44:00Z</dcterms:modified>
</cp:coreProperties>
</file>