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D5AD6" w14:textId="77777777" w:rsidR="00E71618" w:rsidRDefault="00E71618" w:rsidP="007F4FF7">
      <w:pPr>
        <w:jc w:val="center"/>
        <w:rPr>
          <w:rFonts w:ascii="Century Gothic" w:hAnsi="Century Gothic"/>
          <w:sz w:val="20"/>
          <w:szCs w:val="20"/>
        </w:rPr>
      </w:pPr>
    </w:p>
    <w:p w14:paraId="69321CAE" w14:textId="69C06A5D" w:rsidR="00AD4E97" w:rsidRPr="007F4FF7" w:rsidRDefault="00D81F7A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>P</w:t>
      </w:r>
      <w:r w:rsidR="00B62FDE" w:rsidRPr="007F4FF7">
        <w:rPr>
          <w:rFonts w:ascii="Century Gothic" w:hAnsi="Century Gothic"/>
          <w:sz w:val="20"/>
          <w:szCs w:val="20"/>
        </w:rPr>
        <w:t>RESUPUESTO DE EGRESOS ASIGNADO A LA SECRETARÍA DE FINANZAS</w:t>
      </w:r>
    </w:p>
    <w:p w14:paraId="4283342D" w14:textId="0DE0F961" w:rsidR="00B62FDE" w:rsidRPr="007F4FF7" w:rsidRDefault="00987548" w:rsidP="007F4FF7">
      <w:pPr>
        <w:jc w:val="center"/>
        <w:rPr>
          <w:rFonts w:ascii="Century Gothic" w:hAnsi="Century Gothic"/>
          <w:sz w:val="20"/>
          <w:szCs w:val="20"/>
        </w:rPr>
      </w:pPr>
      <w:r w:rsidRPr="007F4FF7">
        <w:rPr>
          <w:rFonts w:ascii="Century Gothic" w:hAnsi="Century Gothic"/>
          <w:sz w:val="20"/>
          <w:szCs w:val="20"/>
        </w:rPr>
        <w:t xml:space="preserve">EJERCICIO FISCAL </w:t>
      </w:r>
      <w:r w:rsidR="0062409C" w:rsidRPr="007F4FF7">
        <w:rPr>
          <w:rFonts w:ascii="Century Gothic" w:hAnsi="Century Gothic"/>
          <w:sz w:val="20"/>
          <w:szCs w:val="20"/>
        </w:rPr>
        <w:t>202</w:t>
      </w:r>
      <w:r w:rsidR="00E1723B">
        <w:rPr>
          <w:rFonts w:ascii="Century Gothic" w:hAnsi="Century Gothic"/>
          <w:sz w:val="20"/>
          <w:szCs w:val="20"/>
        </w:rPr>
        <w:t>4</w:t>
      </w:r>
    </w:p>
    <w:p w14:paraId="39868D80" w14:textId="71F98B5E" w:rsidR="00B62FDE" w:rsidRPr="007F4FF7" w:rsidRDefault="00E71618" w:rsidP="007F4FF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inline distT="0" distB="0" distL="0" distR="0" wp14:anchorId="4246A165" wp14:editId="7A921468">
            <wp:extent cx="4648200" cy="889038"/>
            <wp:effectExtent l="0" t="0" r="0" b="6350"/>
            <wp:docPr id="260940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17" cy="8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val="es-MX" w:eastAsia="es-MX"/>
        </w:rPr>
        <w:drawing>
          <wp:inline distT="0" distB="0" distL="0" distR="0" wp14:anchorId="1A3A879A" wp14:editId="500E73B0">
            <wp:extent cx="3606069" cy="2152650"/>
            <wp:effectExtent l="0" t="0" r="0" b="0"/>
            <wp:docPr id="11794218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38" cy="21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4A41" w14:textId="7063F1B6" w:rsidR="00B62FDE" w:rsidRPr="007F4FF7" w:rsidRDefault="007F4FF7" w:rsidP="00E3607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textWrapping" w:clear="all"/>
      </w:r>
      <w:r w:rsidR="00B62FDE" w:rsidRPr="00CF398A">
        <w:rPr>
          <w:rFonts w:ascii="Century Gothic" w:hAnsi="Century Gothic"/>
          <w:sz w:val="16"/>
          <w:szCs w:val="16"/>
        </w:rPr>
        <w:t xml:space="preserve">Fuente: Presupuesto de Egresos del Estado de Coahuila de Zaragoza para el Ejercicio Fiscal </w:t>
      </w:r>
      <w:r w:rsidR="00E71618">
        <w:rPr>
          <w:rFonts w:ascii="Century Gothic" w:hAnsi="Century Gothic"/>
          <w:sz w:val="16"/>
          <w:szCs w:val="16"/>
        </w:rPr>
        <w:t>2024</w:t>
      </w:r>
    </w:p>
    <w:p w14:paraId="6C0088E3" w14:textId="2747DE0D" w:rsidR="00987548" w:rsidRPr="00CF398A" w:rsidRDefault="00B62FDE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 w:rsidR="00E71618">
        <w:rPr>
          <w:rFonts w:ascii="Century Gothic" w:hAnsi="Century Gothic"/>
          <w:sz w:val="16"/>
          <w:szCs w:val="16"/>
        </w:rPr>
        <w:t>26</w:t>
      </w:r>
      <w:r w:rsidRPr="00CF398A">
        <w:rPr>
          <w:rFonts w:ascii="Century Gothic" w:hAnsi="Century Gothic"/>
          <w:sz w:val="16"/>
          <w:szCs w:val="16"/>
        </w:rPr>
        <w:t xml:space="preserve"> de </w:t>
      </w:r>
      <w:r w:rsidR="00F75DDD" w:rsidRPr="00CF398A">
        <w:rPr>
          <w:rFonts w:ascii="Century Gothic" w:hAnsi="Century Gothic"/>
          <w:sz w:val="16"/>
          <w:szCs w:val="16"/>
        </w:rPr>
        <w:t>diciembre</w:t>
      </w:r>
      <w:r w:rsidR="00987548" w:rsidRPr="00CF398A">
        <w:rPr>
          <w:rFonts w:ascii="Century Gothic" w:hAnsi="Century Gothic"/>
          <w:sz w:val="16"/>
          <w:szCs w:val="16"/>
        </w:rPr>
        <w:t xml:space="preserve"> de </w:t>
      </w:r>
      <w:r w:rsidR="00E71618">
        <w:rPr>
          <w:rFonts w:ascii="Century Gothic" w:hAnsi="Century Gothic"/>
          <w:sz w:val="16"/>
          <w:szCs w:val="16"/>
        </w:rPr>
        <w:t>2023</w:t>
      </w:r>
    </w:p>
    <w:p w14:paraId="6B904E3E" w14:textId="31E810B4" w:rsidR="00217971" w:rsidRPr="00CF398A" w:rsidRDefault="00B62FDE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Tomo </w:t>
      </w:r>
      <w:r w:rsidR="00A373C7" w:rsidRPr="00CF398A">
        <w:rPr>
          <w:rFonts w:ascii="Century Gothic" w:hAnsi="Century Gothic"/>
          <w:sz w:val="16"/>
          <w:szCs w:val="16"/>
        </w:rPr>
        <w:t>CXX</w:t>
      </w:r>
      <w:r w:rsidR="00E71618">
        <w:rPr>
          <w:rFonts w:ascii="Century Gothic" w:hAnsi="Century Gothic"/>
          <w:sz w:val="16"/>
          <w:szCs w:val="16"/>
        </w:rPr>
        <w:t>X</w:t>
      </w:r>
      <w:r w:rsidR="00D81F7A" w:rsidRPr="00CF398A">
        <w:rPr>
          <w:rFonts w:ascii="Century Gothic" w:hAnsi="Century Gothic"/>
          <w:sz w:val="16"/>
          <w:szCs w:val="16"/>
        </w:rPr>
        <w:t xml:space="preserve"> </w:t>
      </w:r>
      <w:r w:rsidRPr="00CF398A">
        <w:rPr>
          <w:rFonts w:ascii="Century Gothic" w:hAnsi="Century Gothic"/>
          <w:sz w:val="16"/>
          <w:szCs w:val="16"/>
        </w:rPr>
        <w:t>Número</w:t>
      </w:r>
      <w:r w:rsidR="00987548" w:rsidRPr="00CF398A">
        <w:rPr>
          <w:rFonts w:ascii="Century Gothic" w:hAnsi="Century Gothic"/>
          <w:sz w:val="16"/>
          <w:szCs w:val="16"/>
        </w:rPr>
        <w:t xml:space="preserve"> </w:t>
      </w:r>
      <w:r w:rsidR="005916F2" w:rsidRPr="00CF398A">
        <w:rPr>
          <w:rFonts w:ascii="Century Gothic" w:hAnsi="Century Gothic"/>
          <w:sz w:val="16"/>
          <w:szCs w:val="16"/>
        </w:rPr>
        <w:t>10</w:t>
      </w:r>
      <w:r w:rsidR="0062409C" w:rsidRPr="00CF398A">
        <w:rPr>
          <w:rFonts w:ascii="Century Gothic" w:hAnsi="Century Gothic"/>
          <w:sz w:val="16"/>
          <w:szCs w:val="16"/>
        </w:rPr>
        <w:t xml:space="preserve">3 </w:t>
      </w:r>
      <w:r w:rsidR="002A24BE" w:rsidRPr="00CF398A">
        <w:rPr>
          <w:rFonts w:ascii="Century Gothic" w:hAnsi="Century Gothic"/>
          <w:sz w:val="16"/>
          <w:szCs w:val="16"/>
        </w:rPr>
        <w:t xml:space="preserve">pág. </w:t>
      </w:r>
      <w:r w:rsidR="00E71618">
        <w:rPr>
          <w:rFonts w:ascii="Century Gothic" w:hAnsi="Century Gothic"/>
          <w:sz w:val="16"/>
          <w:szCs w:val="16"/>
        </w:rPr>
        <w:t>38</w:t>
      </w:r>
    </w:p>
    <w:p w14:paraId="3046C64B" w14:textId="7ED1D86D" w:rsidR="003579FA" w:rsidRDefault="003579FA" w:rsidP="00E3607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A32583">
        <w:rPr>
          <w:rFonts w:ascii="Century Gothic" w:hAnsi="Century Gothic" w:cs="Calibri"/>
          <w:position w:val="1"/>
          <w:sz w:val="20"/>
          <w:szCs w:val="20"/>
        </w:rPr>
        <w:t>31/03</w:t>
      </w:r>
      <w:r w:rsidR="0054016D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0986A2C4" w14:textId="77777777" w:rsidR="00E3607D" w:rsidRDefault="00E3607D" w:rsidP="003579FA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</w:p>
    <w:p w14:paraId="1A16A260" w14:textId="2BA03CF0" w:rsidR="00B03F96" w:rsidRDefault="00E3607D" w:rsidP="003579FA">
      <w:p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</w:r>
      <w:r>
        <w:rPr>
          <w:rFonts w:ascii="Century Gothic" w:hAnsi="Century Gothic"/>
          <w:sz w:val="20"/>
          <w:szCs w:val="22"/>
        </w:rPr>
        <w:tab/>
        <w:t>Continua…</w:t>
      </w:r>
    </w:p>
    <w:p w14:paraId="75AA098B" w14:textId="7080CE38" w:rsidR="00E3607D" w:rsidRDefault="00E3607D" w:rsidP="00E3607D">
      <w:pPr>
        <w:jc w:val="both"/>
        <w:rPr>
          <w:rFonts w:ascii="Century Gothic" w:hAnsi="Century Gothic"/>
          <w:sz w:val="20"/>
          <w:szCs w:val="22"/>
        </w:rPr>
      </w:pPr>
      <w:r w:rsidRPr="00E3607D">
        <w:rPr>
          <w:rFonts w:ascii="Century Gothic" w:hAnsi="Century Gothic"/>
          <w:b/>
          <w:bCs/>
          <w:sz w:val="20"/>
          <w:szCs w:val="22"/>
        </w:rPr>
        <w:lastRenderedPageBreak/>
        <w:t>ARTÍCULO 43.-</w:t>
      </w:r>
      <w:r w:rsidRPr="00E3607D">
        <w:rPr>
          <w:rFonts w:ascii="Century Gothic" w:hAnsi="Century Gothic"/>
          <w:sz w:val="20"/>
          <w:szCs w:val="22"/>
        </w:rPr>
        <w:t xml:space="preserve"> Con fundamento en el artículo 134 de la Constitución Política de los Estados Unidos Mexicanos, artículo 171 de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la Constitución Política del Estado de Coahuila de Zaragoza, artículo 61 de la Ley General de Contabilidad Gubernamental,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artículos 31, 32 de la Ley de Planeación para el Desarrollo del Estado de Coahuila, y los Lineamientos para la construcción y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diseño de indicadores de desempeño mediante la Metodología de Marco Lógico, emitido por el Consejo Nacional de Armonización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Contable; para el ejercicio 2024, se consideran los siguientes programas presupuestarios, los cuales deberán actualizarse de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conformidad con el artículo 27 de la Ley de Planeación para el Desarrollo del Estado de Coahuila de Zaragoza, mismos que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contendrán los objetivos, parámetros cuantificables, e indicadores de desempeño, en congruencia con el Plan Estatal de Desarrollo</w:t>
      </w:r>
      <w:r>
        <w:rPr>
          <w:rFonts w:ascii="Century Gothic" w:hAnsi="Century Gothic"/>
          <w:sz w:val="20"/>
          <w:szCs w:val="22"/>
        </w:rPr>
        <w:t xml:space="preserve"> </w:t>
      </w:r>
      <w:r w:rsidRPr="00E3607D">
        <w:rPr>
          <w:rFonts w:ascii="Century Gothic" w:hAnsi="Century Gothic"/>
          <w:sz w:val="20"/>
          <w:szCs w:val="22"/>
        </w:rPr>
        <w:t>2023-2029, por lo que de manera enunciativa se enlistan:</w:t>
      </w:r>
    </w:p>
    <w:p w14:paraId="3671A075" w14:textId="20AC2070" w:rsidR="00E3607D" w:rsidRDefault="00E3607D" w:rsidP="00E3607D">
      <w:pPr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noProof/>
          <w:sz w:val="20"/>
          <w:szCs w:val="22"/>
          <w:lang w:val="es-MX" w:eastAsia="es-MX"/>
        </w:rPr>
        <w:drawing>
          <wp:inline distT="0" distB="0" distL="0" distR="0" wp14:anchorId="2BB505F5" wp14:editId="79C1F39F">
            <wp:extent cx="6333490" cy="876300"/>
            <wp:effectExtent l="0" t="0" r="0" b="0"/>
            <wp:docPr id="1975777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3C42" w14:textId="77777777" w:rsidR="00E3607D" w:rsidRDefault="00E3607D" w:rsidP="00E3607D">
      <w:pPr>
        <w:jc w:val="both"/>
        <w:rPr>
          <w:rFonts w:ascii="Century Gothic" w:hAnsi="Century Gothic"/>
          <w:sz w:val="20"/>
          <w:szCs w:val="22"/>
        </w:rPr>
      </w:pPr>
    </w:p>
    <w:p w14:paraId="4D38D3A4" w14:textId="549619BF" w:rsidR="00E3607D" w:rsidRPr="00E3607D" w:rsidRDefault="00E3607D" w:rsidP="00E3607D">
      <w:pPr>
        <w:jc w:val="both"/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noProof/>
          <w:sz w:val="20"/>
          <w:szCs w:val="22"/>
          <w:lang w:val="es-MX" w:eastAsia="es-MX"/>
        </w:rPr>
        <w:drawing>
          <wp:inline distT="0" distB="0" distL="0" distR="0" wp14:anchorId="5F8584EE" wp14:editId="5CFC42A8">
            <wp:extent cx="6324600" cy="1190625"/>
            <wp:effectExtent l="0" t="0" r="0" b="9525"/>
            <wp:docPr id="169994868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3746" w14:textId="77777777" w:rsidR="00E3607D" w:rsidRDefault="00E3607D" w:rsidP="00E3607D">
      <w:pPr>
        <w:jc w:val="both"/>
        <w:rPr>
          <w:rFonts w:ascii="Century Gothic" w:hAnsi="Century Gothic"/>
          <w:sz w:val="20"/>
          <w:szCs w:val="22"/>
        </w:rPr>
      </w:pPr>
    </w:p>
    <w:p w14:paraId="79747554" w14:textId="77777777" w:rsidR="00E3607D" w:rsidRDefault="00E3607D" w:rsidP="00E3607D">
      <w:pPr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Fuente: Presupuesto de Egresos del Estado de Coahuila de Zaragoza para el Ejercicio Fiscal </w:t>
      </w:r>
      <w:r>
        <w:rPr>
          <w:rFonts w:ascii="Century Gothic" w:hAnsi="Century Gothic"/>
          <w:sz w:val="16"/>
          <w:szCs w:val="16"/>
        </w:rPr>
        <w:t>2024</w:t>
      </w:r>
    </w:p>
    <w:p w14:paraId="58B1F4D0" w14:textId="079EFD9F" w:rsidR="00E3607D" w:rsidRPr="00CF398A" w:rsidRDefault="00E3607D" w:rsidP="00E3607D">
      <w:pPr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 xml:space="preserve">Publicación en el Periódico Oficial del Estado en fecha </w:t>
      </w:r>
      <w:r>
        <w:rPr>
          <w:rFonts w:ascii="Century Gothic" w:hAnsi="Century Gothic"/>
          <w:sz w:val="16"/>
          <w:szCs w:val="16"/>
        </w:rPr>
        <w:t>26</w:t>
      </w:r>
      <w:r w:rsidRPr="00CF398A">
        <w:rPr>
          <w:rFonts w:ascii="Century Gothic" w:hAnsi="Century Gothic"/>
          <w:sz w:val="16"/>
          <w:szCs w:val="16"/>
        </w:rPr>
        <w:t xml:space="preserve"> de diciembre de </w:t>
      </w:r>
      <w:r>
        <w:rPr>
          <w:rFonts w:ascii="Century Gothic" w:hAnsi="Century Gothic"/>
          <w:sz w:val="16"/>
          <w:szCs w:val="16"/>
        </w:rPr>
        <w:t>2023</w:t>
      </w:r>
    </w:p>
    <w:p w14:paraId="3E09A8A7" w14:textId="6B9FE095" w:rsidR="00E3607D" w:rsidRPr="00CF398A" w:rsidRDefault="00E3607D" w:rsidP="00E3607D">
      <w:pPr>
        <w:jc w:val="both"/>
        <w:rPr>
          <w:rFonts w:ascii="Century Gothic" w:hAnsi="Century Gothic"/>
          <w:sz w:val="16"/>
          <w:szCs w:val="16"/>
        </w:rPr>
      </w:pPr>
      <w:r w:rsidRPr="00CF398A">
        <w:rPr>
          <w:rFonts w:ascii="Century Gothic" w:hAnsi="Century Gothic"/>
          <w:sz w:val="16"/>
          <w:szCs w:val="16"/>
        </w:rPr>
        <w:t>Tomo CXX</w:t>
      </w:r>
      <w:r>
        <w:rPr>
          <w:rFonts w:ascii="Century Gothic" w:hAnsi="Century Gothic"/>
          <w:sz w:val="16"/>
          <w:szCs w:val="16"/>
        </w:rPr>
        <w:t>X</w:t>
      </w:r>
      <w:r w:rsidRPr="00CF398A">
        <w:rPr>
          <w:rFonts w:ascii="Century Gothic" w:hAnsi="Century Gothic"/>
          <w:sz w:val="16"/>
          <w:szCs w:val="16"/>
        </w:rPr>
        <w:t xml:space="preserve"> Número 103 pág. </w:t>
      </w:r>
      <w:r>
        <w:rPr>
          <w:rFonts w:ascii="Century Gothic" w:hAnsi="Century Gothic"/>
          <w:sz w:val="16"/>
          <w:szCs w:val="16"/>
        </w:rPr>
        <w:t>30</w:t>
      </w:r>
    </w:p>
    <w:p w14:paraId="1397E763" w14:textId="72CE4819" w:rsidR="00E3607D" w:rsidRDefault="00E3607D" w:rsidP="00E3607D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A32583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54016D">
        <w:rPr>
          <w:rFonts w:ascii="Century Gothic" w:hAnsi="Century Gothic" w:cs="Calibri"/>
          <w:position w:val="1"/>
          <w:sz w:val="20"/>
          <w:szCs w:val="20"/>
        </w:rPr>
        <w:t>/2025</w:t>
      </w:r>
    </w:p>
    <w:p w14:paraId="4CD6F2F2" w14:textId="77777777" w:rsidR="00E3607D" w:rsidRPr="003579FA" w:rsidRDefault="00E3607D" w:rsidP="00E3607D">
      <w:pPr>
        <w:jc w:val="both"/>
        <w:rPr>
          <w:rFonts w:ascii="Century Gothic" w:hAnsi="Century Gothic"/>
          <w:sz w:val="20"/>
          <w:szCs w:val="22"/>
        </w:rPr>
      </w:pPr>
    </w:p>
    <w:sectPr w:rsidR="00E3607D" w:rsidRPr="003579FA" w:rsidSect="005124F9">
      <w:headerReference w:type="default" r:id="rId10"/>
      <w:footerReference w:type="even" r:id="rId11"/>
      <w:footerReference w:type="default" r:id="rId12"/>
      <w:pgSz w:w="12242" w:h="10773" w:code="1"/>
      <w:pgMar w:top="2127" w:right="1134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2F2A" w14:textId="77777777" w:rsidR="00A76FA4" w:rsidRDefault="00A76FA4">
      <w:r>
        <w:separator/>
      </w:r>
    </w:p>
  </w:endnote>
  <w:endnote w:type="continuationSeparator" w:id="0">
    <w:p w14:paraId="6AE5F068" w14:textId="77777777" w:rsidR="00A76FA4" w:rsidRDefault="00A7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C44F" w14:textId="7E5BB443" w:rsidR="00A50761" w:rsidRPr="002C79DF" w:rsidRDefault="00A50761" w:rsidP="00A50761">
    <w:pPr>
      <w:pStyle w:val="Piedepgina"/>
      <w:jc w:val="right"/>
    </w:pPr>
  </w:p>
  <w:p w14:paraId="3847F459" w14:textId="2FBE4C98" w:rsidR="00621B00" w:rsidRPr="002C79DF" w:rsidRDefault="00621B00" w:rsidP="002C79DF">
    <w:pPr>
      <w:pStyle w:val="Piedepgina"/>
      <w:tabs>
        <w:tab w:val="clear" w:pos="4419"/>
        <w:tab w:val="clear" w:pos="8838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FA03A" w14:textId="77777777" w:rsidR="00A76FA4" w:rsidRDefault="00A76FA4">
      <w:r>
        <w:separator/>
      </w:r>
    </w:p>
  </w:footnote>
  <w:footnote w:type="continuationSeparator" w:id="0">
    <w:p w14:paraId="5FE219BB" w14:textId="77777777" w:rsidR="00A76FA4" w:rsidRDefault="00A7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7635" w14:textId="6C44EB30" w:rsidR="00AE0C41" w:rsidRDefault="00AE0C41" w:rsidP="00AE0C41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16E9A195" wp14:editId="6B21018A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32711983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11983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1" locked="0" layoutInCell="1" allowOverlap="1" wp14:anchorId="1BE89CCF" wp14:editId="086DD59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521000272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7B443" w14:textId="77777777" w:rsidR="00AE0C41" w:rsidRDefault="00AE0C41" w:rsidP="00AE0C4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2F3576B6" w14:textId="5E507514" w:rsidR="00FC28A0" w:rsidRPr="00AE0C41" w:rsidRDefault="00FC28A0" w:rsidP="00AE0C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1C2C"/>
    <w:rsid w:val="00015ABB"/>
    <w:rsid w:val="00016A58"/>
    <w:rsid w:val="00025295"/>
    <w:rsid w:val="00030005"/>
    <w:rsid w:val="000314CF"/>
    <w:rsid w:val="0003785F"/>
    <w:rsid w:val="00053AB3"/>
    <w:rsid w:val="00060AC5"/>
    <w:rsid w:val="000610B9"/>
    <w:rsid w:val="0006408A"/>
    <w:rsid w:val="00073D85"/>
    <w:rsid w:val="00090B3B"/>
    <w:rsid w:val="00091E73"/>
    <w:rsid w:val="00096952"/>
    <w:rsid w:val="000A151B"/>
    <w:rsid w:val="000A2F65"/>
    <w:rsid w:val="000A564B"/>
    <w:rsid w:val="000A7B7C"/>
    <w:rsid w:val="000B66B7"/>
    <w:rsid w:val="000B708B"/>
    <w:rsid w:val="000C304D"/>
    <w:rsid w:val="000C6660"/>
    <w:rsid w:val="000D555A"/>
    <w:rsid w:val="000F010E"/>
    <w:rsid w:val="000F208C"/>
    <w:rsid w:val="00105AA7"/>
    <w:rsid w:val="00120083"/>
    <w:rsid w:val="001303C2"/>
    <w:rsid w:val="00133A51"/>
    <w:rsid w:val="001412BA"/>
    <w:rsid w:val="00154156"/>
    <w:rsid w:val="00154A45"/>
    <w:rsid w:val="00157B41"/>
    <w:rsid w:val="00160F5B"/>
    <w:rsid w:val="00164054"/>
    <w:rsid w:val="001671FC"/>
    <w:rsid w:val="00177C33"/>
    <w:rsid w:val="0018337E"/>
    <w:rsid w:val="001A4FF3"/>
    <w:rsid w:val="001B2F4A"/>
    <w:rsid w:val="001B3019"/>
    <w:rsid w:val="001B573D"/>
    <w:rsid w:val="001C2B40"/>
    <w:rsid w:val="001C5069"/>
    <w:rsid w:val="001D16E2"/>
    <w:rsid w:val="001D3635"/>
    <w:rsid w:val="001E24B1"/>
    <w:rsid w:val="001F3985"/>
    <w:rsid w:val="001F6C03"/>
    <w:rsid w:val="00200082"/>
    <w:rsid w:val="002039B2"/>
    <w:rsid w:val="002135EF"/>
    <w:rsid w:val="00214EF1"/>
    <w:rsid w:val="00217971"/>
    <w:rsid w:val="002238D7"/>
    <w:rsid w:val="00230363"/>
    <w:rsid w:val="002449B1"/>
    <w:rsid w:val="00250541"/>
    <w:rsid w:val="0025063F"/>
    <w:rsid w:val="0025711A"/>
    <w:rsid w:val="00260F66"/>
    <w:rsid w:val="00276C53"/>
    <w:rsid w:val="00290665"/>
    <w:rsid w:val="00294E65"/>
    <w:rsid w:val="00297400"/>
    <w:rsid w:val="002A24BE"/>
    <w:rsid w:val="002A3012"/>
    <w:rsid w:val="002A4A43"/>
    <w:rsid w:val="002A69FB"/>
    <w:rsid w:val="002B229E"/>
    <w:rsid w:val="002C1D63"/>
    <w:rsid w:val="002C3E5D"/>
    <w:rsid w:val="002C4A5A"/>
    <w:rsid w:val="002C79DF"/>
    <w:rsid w:val="002D2B88"/>
    <w:rsid w:val="002D48DC"/>
    <w:rsid w:val="002D532B"/>
    <w:rsid w:val="002E1904"/>
    <w:rsid w:val="002E4F78"/>
    <w:rsid w:val="00307BD3"/>
    <w:rsid w:val="00311602"/>
    <w:rsid w:val="00311FE6"/>
    <w:rsid w:val="00324543"/>
    <w:rsid w:val="003304FB"/>
    <w:rsid w:val="00331924"/>
    <w:rsid w:val="003334CB"/>
    <w:rsid w:val="00346463"/>
    <w:rsid w:val="0034785A"/>
    <w:rsid w:val="00351C95"/>
    <w:rsid w:val="003579FA"/>
    <w:rsid w:val="00361F7B"/>
    <w:rsid w:val="003675B6"/>
    <w:rsid w:val="00374D11"/>
    <w:rsid w:val="00394D76"/>
    <w:rsid w:val="0039722C"/>
    <w:rsid w:val="003A6667"/>
    <w:rsid w:val="003A7AA8"/>
    <w:rsid w:val="003B372C"/>
    <w:rsid w:val="003C1188"/>
    <w:rsid w:val="003D01F3"/>
    <w:rsid w:val="003E1B4C"/>
    <w:rsid w:val="003F2F4C"/>
    <w:rsid w:val="00406183"/>
    <w:rsid w:val="0040634A"/>
    <w:rsid w:val="00406C8F"/>
    <w:rsid w:val="004151D0"/>
    <w:rsid w:val="00415770"/>
    <w:rsid w:val="00416073"/>
    <w:rsid w:val="00421B35"/>
    <w:rsid w:val="00425A6B"/>
    <w:rsid w:val="004362A1"/>
    <w:rsid w:val="00447596"/>
    <w:rsid w:val="00465F2E"/>
    <w:rsid w:val="00476D15"/>
    <w:rsid w:val="0048616C"/>
    <w:rsid w:val="004A099D"/>
    <w:rsid w:val="004A6721"/>
    <w:rsid w:val="004B0C1B"/>
    <w:rsid w:val="004D4835"/>
    <w:rsid w:val="005124F9"/>
    <w:rsid w:val="005136DE"/>
    <w:rsid w:val="00531287"/>
    <w:rsid w:val="0054016D"/>
    <w:rsid w:val="005513BE"/>
    <w:rsid w:val="00552523"/>
    <w:rsid w:val="00571897"/>
    <w:rsid w:val="00581553"/>
    <w:rsid w:val="00584787"/>
    <w:rsid w:val="005916F2"/>
    <w:rsid w:val="00593AC8"/>
    <w:rsid w:val="00597786"/>
    <w:rsid w:val="005A1D19"/>
    <w:rsid w:val="005B1E84"/>
    <w:rsid w:val="005B2737"/>
    <w:rsid w:val="005B279E"/>
    <w:rsid w:val="005D4840"/>
    <w:rsid w:val="005D488A"/>
    <w:rsid w:val="005D4EE3"/>
    <w:rsid w:val="005D585F"/>
    <w:rsid w:val="005D6C15"/>
    <w:rsid w:val="005D742C"/>
    <w:rsid w:val="005E0065"/>
    <w:rsid w:val="005E27CB"/>
    <w:rsid w:val="005E2E60"/>
    <w:rsid w:val="005E7D6F"/>
    <w:rsid w:val="005F4E92"/>
    <w:rsid w:val="00601C09"/>
    <w:rsid w:val="006046BA"/>
    <w:rsid w:val="00613059"/>
    <w:rsid w:val="00615F41"/>
    <w:rsid w:val="00621B00"/>
    <w:rsid w:val="0062409C"/>
    <w:rsid w:val="00627D07"/>
    <w:rsid w:val="006373AA"/>
    <w:rsid w:val="00642F5B"/>
    <w:rsid w:val="006431BC"/>
    <w:rsid w:val="00644DB5"/>
    <w:rsid w:val="00645894"/>
    <w:rsid w:val="0066580B"/>
    <w:rsid w:val="00684C0C"/>
    <w:rsid w:val="006A1360"/>
    <w:rsid w:val="006A599B"/>
    <w:rsid w:val="006B10C5"/>
    <w:rsid w:val="006B494E"/>
    <w:rsid w:val="006C09D9"/>
    <w:rsid w:val="006C323E"/>
    <w:rsid w:val="006C3783"/>
    <w:rsid w:val="006D2919"/>
    <w:rsid w:val="006D6461"/>
    <w:rsid w:val="006E268A"/>
    <w:rsid w:val="006F6E98"/>
    <w:rsid w:val="007066D9"/>
    <w:rsid w:val="00706AB8"/>
    <w:rsid w:val="00707369"/>
    <w:rsid w:val="00735B07"/>
    <w:rsid w:val="007366DE"/>
    <w:rsid w:val="00747008"/>
    <w:rsid w:val="00747CEB"/>
    <w:rsid w:val="0075127D"/>
    <w:rsid w:val="00755077"/>
    <w:rsid w:val="00756AD1"/>
    <w:rsid w:val="007571E5"/>
    <w:rsid w:val="00757888"/>
    <w:rsid w:val="00763795"/>
    <w:rsid w:val="0076721E"/>
    <w:rsid w:val="007767AD"/>
    <w:rsid w:val="0079763C"/>
    <w:rsid w:val="007978A7"/>
    <w:rsid w:val="007A54BA"/>
    <w:rsid w:val="007A74EC"/>
    <w:rsid w:val="007A7D1D"/>
    <w:rsid w:val="007B05AC"/>
    <w:rsid w:val="007B648F"/>
    <w:rsid w:val="007B7C7D"/>
    <w:rsid w:val="007C3779"/>
    <w:rsid w:val="007C3B89"/>
    <w:rsid w:val="007D62D3"/>
    <w:rsid w:val="007D6566"/>
    <w:rsid w:val="007F4B01"/>
    <w:rsid w:val="007F4FF7"/>
    <w:rsid w:val="00812B84"/>
    <w:rsid w:val="008169B7"/>
    <w:rsid w:val="00822D4E"/>
    <w:rsid w:val="00832360"/>
    <w:rsid w:val="0083499B"/>
    <w:rsid w:val="00843AD5"/>
    <w:rsid w:val="008461F5"/>
    <w:rsid w:val="00846398"/>
    <w:rsid w:val="0085280F"/>
    <w:rsid w:val="008572B4"/>
    <w:rsid w:val="008578EF"/>
    <w:rsid w:val="008631AA"/>
    <w:rsid w:val="00863546"/>
    <w:rsid w:val="00865427"/>
    <w:rsid w:val="00867049"/>
    <w:rsid w:val="00870E29"/>
    <w:rsid w:val="0087204A"/>
    <w:rsid w:val="00873CB1"/>
    <w:rsid w:val="00876526"/>
    <w:rsid w:val="0087689B"/>
    <w:rsid w:val="00881099"/>
    <w:rsid w:val="008819B7"/>
    <w:rsid w:val="00884311"/>
    <w:rsid w:val="00894F3E"/>
    <w:rsid w:val="008A2997"/>
    <w:rsid w:val="008A627D"/>
    <w:rsid w:val="008B119A"/>
    <w:rsid w:val="008D3E31"/>
    <w:rsid w:val="008D4B11"/>
    <w:rsid w:val="008D7665"/>
    <w:rsid w:val="00902D17"/>
    <w:rsid w:val="00905D2F"/>
    <w:rsid w:val="00907A58"/>
    <w:rsid w:val="00915056"/>
    <w:rsid w:val="00926DDC"/>
    <w:rsid w:val="0093797B"/>
    <w:rsid w:val="00941134"/>
    <w:rsid w:val="00942A22"/>
    <w:rsid w:val="00951C44"/>
    <w:rsid w:val="00962005"/>
    <w:rsid w:val="00964FF5"/>
    <w:rsid w:val="00967737"/>
    <w:rsid w:val="0098336E"/>
    <w:rsid w:val="0098749D"/>
    <w:rsid w:val="00987548"/>
    <w:rsid w:val="009919C4"/>
    <w:rsid w:val="009A51D3"/>
    <w:rsid w:val="009D0CAA"/>
    <w:rsid w:val="009D79FF"/>
    <w:rsid w:val="009E0914"/>
    <w:rsid w:val="009E2DBA"/>
    <w:rsid w:val="009F4F14"/>
    <w:rsid w:val="00A01E6A"/>
    <w:rsid w:val="00A02DA7"/>
    <w:rsid w:val="00A03009"/>
    <w:rsid w:val="00A06691"/>
    <w:rsid w:val="00A105A3"/>
    <w:rsid w:val="00A1208B"/>
    <w:rsid w:val="00A31BF9"/>
    <w:rsid w:val="00A32583"/>
    <w:rsid w:val="00A373C7"/>
    <w:rsid w:val="00A42300"/>
    <w:rsid w:val="00A4239C"/>
    <w:rsid w:val="00A50761"/>
    <w:rsid w:val="00A5255E"/>
    <w:rsid w:val="00A55CFB"/>
    <w:rsid w:val="00A74882"/>
    <w:rsid w:val="00A76899"/>
    <w:rsid w:val="00A76FA4"/>
    <w:rsid w:val="00A833A2"/>
    <w:rsid w:val="00A8471A"/>
    <w:rsid w:val="00A84984"/>
    <w:rsid w:val="00A86332"/>
    <w:rsid w:val="00A92352"/>
    <w:rsid w:val="00AA2CF2"/>
    <w:rsid w:val="00AA4D97"/>
    <w:rsid w:val="00AA53F3"/>
    <w:rsid w:val="00AB35C5"/>
    <w:rsid w:val="00AB560F"/>
    <w:rsid w:val="00AC443F"/>
    <w:rsid w:val="00AC4CBF"/>
    <w:rsid w:val="00AD4E97"/>
    <w:rsid w:val="00AE0C41"/>
    <w:rsid w:val="00AE5FA1"/>
    <w:rsid w:val="00AE70A7"/>
    <w:rsid w:val="00AE7ED6"/>
    <w:rsid w:val="00B03F96"/>
    <w:rsid w:val="00B05810"/>
    <w:rsid w:val="00B20F04"/>
    <w:rsid w:val="00B270AD"/>
    <w:rsid w:val="00B300FF"/>
    <w:rsid w:val="00B3727A"/>
    <w:rsid w:val="00B37F8A"/>
    <w:rsid w:val="00B42DBF"/>
    <w:rsid w:val="00B603B5"/>
    <w:rsid w:val="00B616D7"/>
    <w:rsid w:val="00B62FDE"/>
    <w:rsid w:val="00B715AC"/>
    <w:rsid w:val="00B851A8"/>
    <w:rsid w:val="00BA1ADB"/>
    <w:rsid w:val="00BA6596"/>
    <w:rsid w:val="00BD633A"/>
    <w:rsid w:val="00BE3140"/>
    <w:rsid w:val="00BF4684"/>
    <w:rsid w:val="00C11149"/>
    <w:rsid w:val="00C113B5"/>
    <w:rsid w:val="00C126A8"/>
    <w:rsid w:val="00C139B3"/>
    <w:rsid w:val="00C14B40"/>
    <w:rsid w:val="00C230BD"/>
    <w:rsid w:val="00C37BE8"/>
    <w:rsid w:val="00C449D8"/>
    <w:rsid w:val="00C479E1"/>
    <w:rsid w:val="00C5605C"/>
    <w:rsid w:val="00C610F2"/>
    <w:rsid w:val="00C65511"/>
    <w:rsid w:val="00C77249"/>
    <w:rsid w:val="00C93596"/>
    <w:rsid w:val="00C96904"/>
    <w:rsid w:val="00CB1688"/>
    <w:rsid w:val="00CB5BBE"/>
    <w:rsid w:val="00CE2859"/>
    <w:rsid w:val="00CF398A"/>
    <w:rsid w:val="00CF60A8"/>
    <w:rsid w:val="00D3038B"/>
    <w:rsid w:val="00D41CB0"/>
    <w:rsid w:val="00D42480"/>
    <w:rsid w:val="00D61A88"/>
    <w:rsid w:val="00D73B9A"/>
    <w:rsid w:val="00D74DA0"/>
    <w:rsid w:val="00D81F7A"/>
    <w:rsid w:val="00D928A3"/>
    <w:rsid w:val="00DA0773"/>
    <w:rsid w:val="00DA642A"/>
    <w:rsid w:val="00DA7006"/>
    <w:rsid w:val="00DB503A"/>
    <w:rsid w:val="00DC55D3"/>
    <w:rsid w:val="00DE5DFF"/>
    <w:rsid w:val="00DF2364"/>
    <w:rsid w:val="00DF30E8"/>
    <w:rsid w:val="00E02743"/>
    <w:rsid w:val="00E02D1E"/>
    <w:rsid w:val="00E063F3"/>
    <w:rsid w:val="00E1572D"/>
    <w:rsid w:val="00E16D80"/>
    <w:rsid w:val="00E1723B"/>
    <w:rsid w:val="00E266C7"/>
    <w:rsid w:val="00E277B7"/>
    <w:rsid w:val="00E3607D"/>
    <w:rsid w:val="00E364E3"/>
    <w:rsid w:val="00E40A33"/>
    <w:rsid w:val="00E613D7"/>
    <w:rsid w:val="00E61A3D"/>
    <w:rsid w:val="00E71618"/>
    <w:rsid w:val="00E76BD2"/>
    <w:rsid w:val="00E92D61"/>
    <w:rsid w:val="00EB2A4E"/>
    <w:rsid w:val="00EB4463"/>
    <w:rsid w:val="00EB6B97"/>
    <w:rsid w:val="00EB6E18"/>
    <w:rsid w:val="00ED42F0"/>
    <w:rsid w:val="00ED492C"/>
    <w:rsid w:val="00ED787C"/>
    <w:rsid w:val="00EE2153"/>
    <w:rsid w:val="00EE380F"/>
    <w:rsid w:val="00F004E0"/>
    <w:rsid w:val="00F105C9"/>
    <w:rsid w:val="00F211DE"/>
    <w:rsid w:val="00F2773E"/>
    <w:rsid w:val="00F27A0E"/>
    <w:rsid w:val="00F322A1"/>
    <w:rsid w:val="00F41637"/>
    <w:rsid w:val="00F575E8"/>
    <w:rsid w:val="00F60792"/>
    <w:rsid w:val="00F74E59"/>
    <w:rsid w:val="00F75DDD"/>
    <w:rsid w:val="00F9678A"/>
    <w:rsid w:val="00FA04FD"/>
    <w:rsid w:val="00FB098F"/>
    <w:rsid w:val="00FC28A0"/>
    <w:rsid w:val="00FC293D"/>
    <w:rsid w:val="00FD0AB0"/>
    <w:rsid w:val="00FE2536"/>
    <w:rsid w:val="00FE75F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AE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10</cp:revision>
  <cp:lastPrinted>2013-07-04T16:06:00Z</cp:lastPrinted>
  <dcterms:created xsi:type="dcterms:W3CDTF">2025-01-08T17:15:00Z</dcterms:created>
  <dcterms:modified xsi:type="dcterms:W3CDTF">2025-03-26T18:22:00Z</dcterms:modified>
</cp:coreProperties>
</file>