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09" w:rsidRPr="00D1320D" w:rsidRDefault="001A1409" w:rsidP="001A14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3199C81" wp14:editId="2895C2CD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1A1409" w:rsidRPr="00D1320D" w:rsidRDefault="001A1409" w:rsidP="001A14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1320D">
        <w:rPr>
          <w:rFonts w:ascii="Arial" w:hAnsi="Arial" w:cs="Arial"/>
          <w:b/>
          <w:sz w:val="20"/>
          <w:szCs w:val="20"/>
        </w:rPr>
        <w:t>29 DE SEPTIEMBRE DEL 2014.</w:t>
      </w:r>
    </w:p>
    <w:p w:rsidR="001A1409" w:rsidRDefault="001A1409" w:rsidP="001A1409">
      <w:pPr>
        <w:jc w:val="right"/>
      </w:pPr>
    </w:p>
    <w:p w:rsidR="001A1409" w:rsidRDefault="001A1409" w:rsidP="001A1409"/>
    <w:p w:rsidR="001A1409" w:rsidRDefault="001A1409" w:rsidP="001A1409"/>
    <w:p w:rsidR="001A1409" w:rsidRDefault="001A1409" w:rsidP="001A1409"/>
    <w:p w:rsidR="001A1409" w:rsidRPr="00C861F8" w:rsidRDefault="001A1409" w:rsidP="001A1409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Instituto Electoral y de Participación Ciudadana de Coahuila en el mes de septiembre de 2014 no realizó actualización alguna respecto al punto relativo al número, tipo y los resultados de las auditorías practicadas y concluidas al ejercicio presupuestal de cada una de las entidades públicas.</w:t>
      </w:r>
    </w:p>
    <w:p w:rsidR="001A1409" w:rsidRDefault="001A1409" w:rsidP="001A1409"/>
    <w:p w:rsidR="001A1409" w:rsidRDefault="001A1409" w:rsidP="001A1409"/>
    <w:p w:rsidR="002B0328" w:rsidRDefault="002B0328">
      <w:bookmarkStart w:id="0" w:name="_GoBack"/>
      <w:bookmarkEnd w:id="0"/>
    </w:p>
    <w:sectPr w:rsidR="002B03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09"/>
    <w:rsid w:val="001A1409"/>
    <w:rsid w:val="002B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gaby</cp:lastModifiedBy>
  <cp:revision>1</cp:revision>
  <dcterms:created xsi:type="dcterms:W3CDTF">2014-09-29T16:41:00Z</dcterms:created>
  <dcterms:modified xsi:type="dcterms:W3CDTF">2014-09-29T16:46:00Z</dcterms:modified>
</cp:coreProperties>
</file>